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9DE3D" w14:textId="31042ABE" w:rsidR="00157BAB" w:rsidRPr="00255581" w:rsidRDefault="00255581">
      <w:pPr>
        <w:rPr>
          <w:b/>
          <w:bCs/>
          <w:sz w:val="48"/>
          <w:szCs w:val="48"/>
          <w:u w:val="single"/>
        </w:rPr>
      </w:pPr>
      <w:r w:rsidRPr="00255581">
        <w:rPr>
          <w:b/>
          <w:bCs/>
          <w:sz w:val="48"/>
          <w:szCs w:val="48"/>
          <w:u w:val="single"/>
        </w:rPr>
        <w:t>Returns Form</w:t>
      </w:r>
    </w:p>
    <w:tbl>
      <w:tblPr>
        <w:tblStyle w:val="TableGrid"/>
        <w:tblW w:w="0" w:type="auto"/>
        <w:tblLook w:val="04A0" w:firstRow="1" w:lastRow="0" w:firstColumn="1" w:lastColumn="0" w:noHBand="0" w:noVBand="1"/>
      </w:tblPr>
      <w:tblGrid>
        <w:gridCol w:w="1838"/>
        <w:gridCol w:w="7178"/>
      </w:tblGrid>
      <w:tr w:rsidR="00255581" w14:paraId="34935084" w14:textId="77777777" w:rsidTr="00BB6679">
        <w:tc>
          <w:tcPr>
            <w:tcW w:w="1838" w:type="dxa"/>
          </w:tcPr>
          <w:p w14:paraId="03120A1F" w14:textId="6D4D1F0B" w:rsidR="00255581" w:rsidRPr="00BB6679" w:rsidRDefault="00255581">
            <w:pPr>
              <w:rPr>
                <w:b/>
                <w:bCs/>
              </w:rPr>
            </w:pPr>
            <w:proofErr w:type="gramStart"/>
            <w:r w:rsidRPr="00BB6679">
              <w:rPr>
                <w:b/>
                <w:bCs/>
              </w:rPr>
              <w:t>Name :</w:t>
            </w:r>
            <w:proofErr w:type="gramEnd"/>
          </w:p>
        </w:tc>
        <w:tc>
          <w:tcPr>
            <w:tcW w:w="7178" w:type="dxa"/>
          </w:tcPr>
          <w:p w14:paraId="661AFE1B" w14:textId="13CE2431" w:rsidR="00255581" w:rsidRDefault="00255581"/>
        </w:tc>
      </w:tr>
      <w:tr w:rsidR="00255581" w14:paraId="2E13E60A" w14:textId="77777777" w:rsidTr="00BB6679">
        <w:tc>
          <w:tcPr>
            <w:tcW w:w="1838" w:type="dxa"/>
          </w:tcPr>
          <w:p w14:paraId="1284A85B" w14:textId="20A76344" w:rsidR="00255581" w:rsidRPr="00BB6679" w:rsidRDefault="00255581">
            <w:pPr>
              <w:rPr>
                <w:b/>
                <w:bCs/>
              </w:rPr>
            </w:pPr>
            <w:r w:rsidRPr="00BB6679">
              <w:rPr>
                <w:b/>
                <w:bCs/>
              </w:rPr>
              <w:t xml:space="preserve">House </w:t>
            </w:r>
            <w:proofErr w:type="gramStart"/>
            <w:r w:rsidRPr="00BB6679">
              <w:rPr>
                <w:b/>
                <w:bCs/>
              </w:rPr>
              <w:t>Number :</w:t>
            </w:r>
            <w:proofErr w:type="gramEnd"/>
          </w:p>
        </w:tc>
        <w:tc>
          <w:tcPr>
            <w:tcW w:w="7178" w:type="dxa"/>
          </w:tcPr>
          <w:p w14:paraId="063B5AB8" w14:textId="14BC3872" w:rsidR="00255581" w:rsidRDefault="00255581"/>
        </w:tc>
      </w:tr>
      <w:tr w:rsidR="00255581" w14:paraId="356AB3BA" w14:textId="77777777" w:rsidTr="00BB6679">
        <w:tc>
          <w:tcPr>
            <w:tcW w:w="1838" w:type="dxa"/>
          </w:tcPr>
          <w:p w14:paraId="4C6CD304" w14:textId="65AD5302" w:rsidR="00255581" w:rsidRPr="00BB6679" w:rsidRDefault="00255581">
            <w:pPr>
              <w:rPr>
                <w:b/>
                <w:bCs/>
              </w:rPr>
            </w:pPr>
            <w:proofErr w:type="gramStart"/>
            <w:r w:rsidRPr="00BB6679">
              <w:rPr>
                <w:b/>
                <w:bCs/>
              </w:rPr>
              <w:t>Postcode :</w:t>
            </w:r>
            <w:proofErr w:type="gramEnd"/>
          </w:p>
        </w:tc>
        <w:tc>
          <w:tcPr>
            <w:tcW w:w="7178" w:type="dxa"/>
          </w:tcPr>
          <w:p w14:paraId="05E821F0" w14:textId="70EB7A35" w:rsidR="00255581" w:rsidRDefault="00255581"/>
        </w:tc>
      </w:tr>
      <w:tr w:rsidR="00255581" w14:paraId="705BC290" w14:textId="77777777" w:rsidTr="00BB6679">
        <w:tc>
          <w:tcPr>
            <w:tcW w:w="1838" w:type="dxa"/>
          </w:tcPr>
          <w:p w14:paraId="597DC19B" w14:textId="548F03AB" w:rsidR="00255581" w:rsidRPr="00BB6679" w:rsidRDefault="00255581">
            <w:pPr>
              <w:rPr>
                <w:b/>
                <w:bCs/>
              </w:rPr>
            </w:pPr>
            <w:proofErr w:type="gramStart"/>
            <w:r w:rsidRPr="00BB6679">
              <w:rPr>
                <w:b/>
                <w:bCs/>
              </w:rPr>
              <w:t>Phone :</w:t>
            </w:r>
            <w:proofErr w:type="gramEnd"/>
          </w:p>
        </w:tc>
        <w:tc>
          <w:tcPr>
            <w:tcW w:w="7178" w:type="dxa"/>
          </w:tcPr>
          <w:p w14:paraId="48794BBF" w14:textId="77777777" w:rsidR="00255581" w:rsidRDefault="00255581"/>
        </w:tc>
      </w:tr>
      <w:tr w:rsidR="00BB6679" w14:paraId="025B48CE" w14:textId="77777777" w:rsidTr="00BB6679">
        <w:tc>
          <w:tcPr>
            <w:tcW w:w="1838" w:type="dxa"/>
          </w:tcPr>
          <w:p w14:paraId="4F62B36C" w14:textId="22DE69DF" w:rsidR="00BB6679" w:rsidRPr="00BB6679" w:rsidRDefault="00BB6679">
            <w:pPr>
              <w:rPr>
                <w:b/>
                <w:bCs/>
              </w:rPr>
            </w:pPr>
            <w:proofErr w:type="gramStart"/>
            <w:r w:rsidRPr="00BB6679">
              <w:rPr>
                <w:b/>
                <w:bCs/>
              </w:rPr>
              <w:t>Email :</w:t>
            </w:r>
            <w:proofErr w:type="gramEnd"/>
          </w:p>
        </w:tc>
        <w:tc>
          <w:tcPr>
            <w:tcW w:w="7178" w:type="dxa"/>
          </w:tcPr>
          <w:p w14:paraId="188A07D6" w14:textId="77777777" w:rsidR="00BB6679" w:rsidRDefault="00BB6679"/>
        </w:tc>
      </w:tr>
      <w:tr w:rsidR="00BB6679" w14:paraId="10DE84F4" w14:textId="77777777" w:rsidTr="00BB6679">
        <w:tc>
          <w:tcPr>
            <w:tcW w:w="1838" w:type="dxa"/>
          </w:tcPr>
          <w:p w14:paraId="30469F9F" w14:textId="62500619" w:rsidR="00BB6679" w:rsidRPr="00BB6679" w:rsidRDefault="00BB6679">
            <w:pPr>
              <w:rPr>
                <w:b/>
                <w:bCs/>
              </w:rPr>
            </w:pPr>
            <w:proofErr w:type="gramStart"/>
            <w:r w:rsidRPr="00BB6679">
              <w:rPr>
                <w:b/>
                <w:bCs/>
              </w:rPr>
              <w:t>Date :</w:t>
            </w:r>
            <w:proofErr w:type="gramEnd"/>
          </w:p>
        </w:tc>
        <w:tc>
          <w:tcPr>
            <w:tcW w:w="7178" w:type="dxa"/>
          </w:tcPr>
          <w:p w14:paraId="2066552E" w14:textId="77777777" w:rsidR="00BB6679" w:rsidRDefault="00BB6679"/>
        </w:tc>
      </w:tr>
      <w:tr w:rsidR="00BB6679" w14:paraId="51A86EC1" w14:textId="77777777" w:rsidTr="00BB6679">
        <w:tc>
          <w:tcPr>
            <w:tcW w:w="1838" w:type="dxa"/>
          </w:tcPr>
          <w:p w14:paraId="21904960" w14:textId="66C6BA71" w:rsidR="00BB6679" w:rsidRPr="00BB6679" w:rsidRDefault="00BB6679">
            <w:pPr>
              <w:rPr>
                <w:b/>
                <w:bCs/>
              </w:rPr>
            </w:pPr>
            <w:r w:rsidRPr="00BB6679">
              <w:rPr>
                <w:b/>
                <w:bCs/>
              </w:rPr>
              <w:t xml:space="preserve">Order </w:t>
            </w:r>
            <w:proofErr w:type="gramStart"/>
            <w:r w:rsidRPr="00BB6679">
              <w:rPr>
                <w:b/>
                <w:bCs/>
              </w:rPr>
              <w:t>Ref :</w:t>
            </w:r>
            <w:proofErr w:type="gramEnd"/>
          </w:p>
        </w:tc>
        <w:tc>
          <w:tcPr>
            <w:tcW w:w="7178" w:type="dxa"/>
          </w:tcPr>
          <w:p w14:paraId="375BA3D2" w14:textId="77777777" w:rsidR="00BB6679" w:rsidRDefault="00BB6679"/>
        </w:tc>
      </w:tr>
    </w:tbl>
    <w:p w14:paraId="07E87A6B" w14:textId="17A4B43E" w:rsidR="00255581" w:rsidRDefault="00255581"/>
    <w:tbl>
      <w:tblPr>
        <w:tblStyle w:val="TableGrid"/>
        <w:tblW w:w="0" w:type="auto"/>
        <w:tblLook w:val="04A0" w:firstRow="1" w:lastRow="0" w:firstColumn="1" w:lastColumn="0" w:noHBand="0" w:noVBand="1"/>
      </w:tblPr>
      <w:tblGrid>
        <w:gridCol w:w="3397"/>
        <w:gridCol w:w="2272"/>
        <w:gridCol w:w="3347"/>
      </w:tblGrid>
      <w:tr w:rsidR="00255581" w14:paraId="351EF2C6" w14:textId="77777777" w:rsidTr="00BB6679">
        <w:tc>
          <w:tcPr>
            <w:tcW w:w="3397" w:type="dxa"/>
          </w:tcPr>
          <w:p w14:paraId="66B63933" w14:textId="6FF6E148" w:rsidR="00255581" w:rsidRPr="00BB6679" w:rsidRDefault="00255581">
            <w:pPr>
              <w:rPr>
                <w:b/>
                <w:bCs/>
              </w:rPr>
            </w:pPr>
            <w:r w:rsidRPr="00BB6679">
              <w:rPr>
                <w:b/>
                <w:bCs/>
              </w:rPr>
              <w:t>Product</w:t>
            </w:r>
          </w:p>
        </w:tc>
        <w:tc>
          <w:tcPr>
            <w:tcW w:w="2272" w:type="dxa"/>
          </w:tcPr>
          <w:p w14:paraId="77BD3DA1" w14:textId="16FA1960" w:rsidR="00255581" w:rsidRPr="00BB6679" w:rsidRDefault="00255581">
            <w:pPr>
              <w:rPr>
                <w:b/>
                <w:bCs/>
              </w:rPr>
            </w:pPr>
            <w:r w:rsidRPr="00BB6679">
              <w:rPr>
                <w:b/>
                <w:bCs/>
              </w:rPr>
              <w:t>Reason for return?</w:t>
            </w:r>
          </w:p>
        </w:tc>
        <w:tc>
          <w:tcPr>
            <w:tcW w:w="3347" w:type="dxa"/>
          </w:tcPr>
          <w:p w14:paraId="31F23D1B" w14:textId="16B0D1C7" w:rsidR="00255581" w:rsidRPr="00BB6679" w:rsidRDefault="00255581">
            <w:pPr>
              <w:rPr>
                <w:b/>
                <w:bCs/>
              </w:rPr>
            </w:pPr>
            <w:r w:rsidRPr="00BB6679">
              <w:rPr>
                <w:b/>
                <w:bCs/>
              </w:rPr>
              <w:t>Refund/replacement/Alternative?</w:t>
            </w:r>
          </w:p>
        </w:tc>
      </w:tr>
      <w:tr w:rsidR="00255581" w14:paraId="139DF8D4" w14:textId="77777777" w:rsidTr="00BB6679">
        <w:tc>
          <w:tcPr>
            <w:tcW w:w="3397" w:type="dxa"/>
          </w:tcPr>
          <w:p w14:paraId="7F547815" w14:textId="77777777" w:rsidR="00255581" w:rsidRDefault="00255581"/>
        </w:tc>
        <w:tc>
          <w:tcPr>
            <w:tcW w:w="2272" w:type="dxa"/>
          </w:tcPr>
          <w:p w14:paraId="668FBBE2" w14:textId="77777777" w:rsidR="00255581" w:rsidRDefault="00255581"/>
        </w:tc>
        <w:tc>
          <w:tcPr>
            <w:tcW w:w="3347" w:type="dxa"/>
          </w:tcPr>
          <w:p w14:paraId="3327A97D" w14:textId="77777777" w:rsidR="00255581" w:rsidRDefault="00255581"/>
        </w:tc>
      </w:tr>
      <w:tr w:rsidR="00255581" w14:paraId="1E0D60F0" w14:textId="77777777" w:rsidTr="00BB6679">
        <w:tc>
          <w:tcPr>
            <w:tcW w:w="3397" w:type="dxa"/>
          </w:tcPr>
          <w:p w14:paraId="2E5F9D61" w14:textId="77777777" w:rsidR="00255581" w:rsidRDefault="00255581"/>
        </w:tc>
        <w:tc>
          <w:tcPr>
            <w:tcW w:w="2272" w:type="dxa"/>
          </w:tcPr>
          <w:p w14:paraId="25256D34" w14:textId="77777777" w:rsidR="00255581" w:rsidRDefault="00255581"/>
        </w:tc>
        <w:tc>
          <w:tcPr>
            <w:tcW w:w="3347" w:type="dxa"/>
          </w:tcPr>
          <w:p w14:paraId="27DB2B00" w14:textId="77777777" w:rsidR="00255581" w:rsidRDefault="00255581"/>
        </w:tc>
      </w:tr>
      <w:tr w:rsidR="00255581" w14:paraId="00E62F86" w14:textId="77777777" w:rsidTr="00BB6679">
        <w:tc>
          <w:tcPr>
            <w:tcW w:w="3397" w:type="dxa"/>
          </w:tcPr>
          <w:p w14:paraId="024CAB09" w14:textId="77777777" w:rsidR="00255581" w:rsidRDefault="00255581"/>
        </w:tc>
        <w:tc>
          <w:tcPr>
            <w:tcW w:w="2272" w:type="dxa"/>
          </w:tcPr>
          <w:p w14:paraId="524A358F" w14:textId="77777777" w:rsidR="00255581" w:rsidRDefault="00255581"/>
        </w:tc>
        <w:tc>
          <w:tcPr>
            <w:tcW w:w="3347" w:type="dxa"/>
          </w:tcPr>
          <w:p w14:paraId="03F59F20" w14:textId="77777777" w:rsidR="00255581" w:rsidRDefault="00255581"/>
        </w:tc>
      </w:tr>
      <w:tr w:rsidR="00255581" w14:paraId="57115490" w14:textId="77777777" w:rsidTr="00BB6679">
        <w:tc>
          <w:tcPr>
            <w:tcW w:w="3397" w:type="dxa"/>
          </w:tcPr>
          <w:p w14:paraId="19B9D131" w14:textId="77777777" w:rsidR="00255581" w:rsidRDefault="00255581"/>
        </w:tc>
        <w:tc>
          <w:tcPr>
            <w:tcW w:w="2272" w:type="dxa"/>
          </w:tcPr>
          <w:p w14:paraId="089B1069" w14:textId="77777777" w:rsidR="00255581" w:rsidRDefault="00255581"/>
        </w:tc>
        <w:tc>
          <w:tcPr>
            <w:tcW w:w="3347" w:type="dxa"/>
          </w:tcPr>
          <w:p w14:paraId="3FD12F53" w14:textId="77777777" w:rsidR="00255581" w:rsidRDefault="00255581"/>
        </w:tc>
      </w:tr>
      <w:tr w:rsidR="00255581" w14:paraId="78A2EF27" w14:textId="77777777" w:rsidTr="00BB6679">
        <w:tc>
          <w:tcPr>
            <w:tcW w:w="3397" w:type="dxa"/>
          </w:tcPr>
          <w:p w14:paraId="4EE5EC88" w14:textId="77777777" w:rsidR="00255581" w:rsidRDefault="00255581"/>
        </w:tc>
        <w:tc>
          <w:tcPr>
            <w:tcW w:w="2272" w:type="dxa"/>
          </w:tcPr>
          <w:p w14:paraId="65AFFD8A" w14:textId="77777777" w:rsidR="00255581" w:rsidRDefault="00255581"/>
        </w:tc>
        <w:tc>
          <w:tcPr>
            <w:tcW w:w="3347" w:type="dxa"/>
          </w:tcPr>
          <w:p w14:paraId="2B9E72B2" w14:textId="77777777" w:rsidR="00255581" w:rsidRDefault="00255581"/>
        </w:tc>
      </w:tr>
      <w:tr w:rsidR="00255581" w14:paraId="1D6F6A60" w14:textId="77777777" w:rsidTr="00BB6679">
        <w:tc>
          <w:tcPr>
            <w:tcW w:w="3397" w:type="dxa"/>
          </w:tcPr>
          <w:p w14:paraId="1DBD98DE" w14:textId="77777777" w:rsidR="00255581" w:rsidRDefault="00255581"/>
        </w:tc>
        <w:tc>
          <w:tcPr>
            <w:tcW w:w="2272" w:type="dxa"/>
          </w:tcPr>
          <w:p w14:paraId="0D9E2D21" w14:textId="77777777" w:rsidR="00255581" w:rsidRDefault="00255581"/>
        </w:tc>
        <w:tc>
          <w:tcPr>
            <w:tcW w:w="3347" w:type="dxa"/>
          </w:tcPr>
          <w:p w14:paraId="08361279" w14:textId="77777777" w:rsidR="00255581" w:rsidRDefault="00255581"/>
        </w:tc>
      </w:tr>
    </w:tbl>
    <w:p w14:paraId="1FA18C98" w14:textId="77777777" w:rsidR="00BB6679" w:rsidRDefault="00BB6679" w:rsidP="00BB6679"/>
    <w:tbl>
      <w:tblPr>
        <w:tblStyle w:val="TableGrid"/>
        <w:tblW w:w="0" w:type="auto"/>
        <w:tblLook w:val="04A0" w:firstRow="1" w:lastRow="0" w:firstColumn="1" w:lastColumn="0" w:noHBand="0" w:noVBand="1"/>
      </w:tblPr>
      <w:tblGrid>
        <w:gridCol w:w="9016"/>
      </w:tblGrid>
      <w:tr w:rsidR="00BB6679" w14:paraId="35450387" w14:textId="77777777" w:rsidTr="00BB6679">
        <w:tc>
          <w:tcPr>
            <w:tcW w:w="9016" w:type="dxa"/>
          </w:tcPr>
          <w:p w14:paraId="6ED67B4C" w14:textId="59511E32" w:rsidR="00BB6679" w:rsidRDefault="00BB6679" w:rsidP="00BB6679">
            <w:r>
              <w:t>Other Notes</w:t>
            </w:r>
          </w:p>
        </w:tc>
      </w:tr>
      <w:tr w:rsidR="00BB6679" w14:paraId="610A605C" w14:textId="77777777" w:rsidTr="00BB6679">
        <w:tc>
          <w:tcPr>
            <w:tcW w:w="9016" w:type="dxa"/>
          </w:tcPr>
          <w:p w14:paraId="5DDB8C93" w14:textId="77777777" w:rsidR="00BB6679" w:rsidRDefault="00BB6679" w:rsidP="00BB6679"/>
          <w:p w14:paraId="62B084FE" w14:textId="77777777" w:rsidR="00BB6679" w:rsidRDefault="00BB6679" w:rsidP="00BB6679"/>
          <w:p w14:paraId="56B9604D" w14:textId="77777777" w:rsidR="00BB6679" w:rsidRDefault="00BB6679" w:rsidP="00BB6679"/>
          <w:p w14:paraId="23DBC31C" w14:textId="77777777" w:rsidR="00BB6679" w:rsidRDefault="00BB6679" w:rsidP="00BB6679"/>
          <w:p w14:paraId="57C10758" w14:textId="77777777" w:rsidR="00BB6679" w:rsidRDefault="00BB6679" w:rsidP="00BB6679"/>
          <w:p w14:paraId="73C76E53" w14:textId="77777777" w:rsidR="00BB6679" w:rsidRDefault="00BB6679" w:rsidP="00BB6679"/>
          <w:p w14:paraId="33A521B1" w14:textId="29441513" w:rsidR="00BB6679" w:rsidRDefault="00BB6679" w:rsidP="00BB6679"/>
        </w:tc>
      </w:tr>
    </w:tbl>
    <w:p w14:paraId="02E28EED" w14:textId="77777777" w:rsidR="00BB6679" w:rsidRDefault="00BB6679" w:rsidP="00BB6679"/>
    <w:p w14:paraId="0F7A91DB" w14:textId="2AC52870" w:rsidR="00255581" w:rsidRPr="008A7C85" w:rsidRDefault="00BB6679" w:rsidP="00BB6679">
      <w:pPr>
        <w:rPr>
          <w:rFonts w:cstheme="minorHAnsi"/>
          <w:b/>
          <w:bCs/>
          <w:i/>
          <w:iCs/>
          <w:sz w:val="16"/>
          <w:szCs w:val="16"/>
        </w:rPr>
      </w:pPr>
      <w:r w:rsidRPr="008A7C85">
        <w:rPr>
          <w:b/>
          <w:bCs/>
        </w:rPr>
        <w:t>Returns address – Gerrys Fishing, 52-54 Marine Road West, Morecambe, LA4 4EU</w:t>
      </w:r>
      <w:r w:rsidRPr="008A7C85">
        <w:rPr>
          <w:b/>
          <w:bCs/>
        </w:rPr>
        <w:br/>
      </w:r>
    </w:p>
    <w:p w14:paraId="09E03BD3" w14:textId="77777777" w:rsidR="00BB6679" w:rsidRPr="00BB6679" w:rsidRDefault="00BB6679" w:rsidP="00BB6679">
      <w:pPr>
        <w:pStyle w:val="ListParagraph"/>
        <w:numPr>
          <w:ilvl w:val="0"/>
          <w:numId w:val="1"/>
        </w:numPr>
        <w:rPr>
          <w:rFonts w:cstheme="minorHAnsi"/>
          <w:i/>
          <w:iCs/>
          <w:sz w:val="16"/>
          <w:szCs w:val="16"/>
        </w:rPr>
      </w:pPr>
      <w:r w:rsidRPr="00BB6679">
        <w:rPr>
          <w:rFonts w:cstheme="minorHAnsi"/>
          <w:i/>
          <w:iCs/>
          <w:color w:val="4D4D4D"/>
          <w:sz w:val="16"/>
          <w:szCs w:val="16"/>
          <w:shd w:val="clear" w:color="auto" w:fill="FFFFFF"/>
        </w:rPr>
        <w:t>We are more than happy to exchange any unwanted items bought over the phone or online, provided they are returned unused, in perfect condition and in the original packaging within 28 days of delivery. Postage refunds will not be issued in such circumstances.</w:t>
      </w:r>
      <w:r w:rsidRPr="00BB6679">
        <w:rPr>
          <w:rFonts w:cstheme="minorHAnsi"/>
          <w:i/>
          <w:iCs/>
          <w:color w:val="4D4D4D"/>
          <w:sz w:val="16"/>
          <w:szCs w:val="16"/>
          <w:shd w:val="clear" w:color="auto" w:fill="FFFFFF"/>
        </w:rPr>
        <w:t xml:space="preserve"> </w:t>
      </w:r>
      <w:r w:rsidRPr="00BB6679">
        <w:rPr>
          <w:rFonts w:cstheme="minorHAnsi"/>
          <w:i/>
          <w:iCs/>
          <w:color w:val="4D4D4D"/>
          <w:sz w:val="16"/>
          <w:szCs w:val="16"/>
          <w:shd w:val="clear" w:color="auto" w:fill="FFFFFF"/>
        </w:rPr>
        <w:br/>
      </w:r>
    </w:p>
    <w:p w14:paraId="39C9928B" w14:textId="726EC7CD" w:rsidR="00BB6679" w:rsidRPr="00BB6679" w:rsidRDefault="00BB6679" w:rsidP="00BB6679">
      <w:pPr>
        <w:pStyle w:val="ListParagraph"/>
        <w:numPr>
          <w:ilvl w:val="0"/>
          <w:numId w:val="1"/>
        </w:numPr>
        <w:rPr>
          <w:rFonts w:cstheme="minorHAnsi"/>
          <w:i/>
          <w:iCs/>
          <w:sz w:val="16"/>
          <w:szCs w:val="16"/>
        </w:rPr>
      </w:pPr>
      <w:r w:rsidRPr="00BB6679">
        <w:rPr>
          <w:rFonts w:cstheme="minorHAnsi"/>
          <w:i/>
          <w:iCs/>
          <w:color w:val="4D4D4D"/>
          <w:sz w:val="16"/>
          <w:szCs w:val="16"/>
          <w:shd w:val="clear" w:color="auto" w:fill="FFFFFF"/>
        </w:rPr>
        <w:t>Goods returned after 28 days can be exchanged but no refunds given.</w:t>
      </w:r>
      <w:r w:rsidRPr="00BB6679">
        <w:rPr>
          <w:rFonts w:cstheme="minorHAnsi"/>
          <w:i/>
          <w:iCs/>
          <w:color w:val="4D4D4D"/>
          <w:sz w:val="16"/>
          <w:szCs w:val="16"/>
          <w:shd w:val="clear" w:color="auto" w:fill="FFFFFF"/>
        </w:rPr>
        <w:br/>
      </w:r>
    </w:p>
    <w:p w14:paraId="5A07337D" w14:textId="61556D44" w:rsidR="00BB6679" w:rsidRPr="00BB6679" w:rsidRDefault="00BB6679" w:rsidP="00BB6679">
      <w:pPr>
        <w:pStyle w:val="ListParagraph"/>
        <w:numPr>
          <w:ilvl w:val="0"/>
          <w:numId w:val="1"/>
        </w:numPr>
        <w:rPr>
          <w:rFonts w:cstheme="minorHAnsi"/>
          <w:i/>
          <w:iCs/>
          <w:sz w:val="16"/>
          <w:szCs w:val="16"/>
        </w:rPr>
      </w:pPr>
      <w:r w:rsidRPr="00BB6679">
        <w:rPr>
          <w:rFonts w:cstheme="minorHAnsi"/>
          <w:i/>
          <w:iCs/>
          <w:color w:val="4D4D4D"/>
          <w:sz w:val="16"/>
          <w:szCs w:val="16"/>
          <w:shd w:val="clear" w:color="auto" w:fill="FFFFFF"/>
        </w:rPr>
        <w:t xml:space="preserve">Most products are covered by a </w:t>
      </w:r>
      <w:proofErr w:type="gramStart"/>
      <w:r w:rsidRPr="00BB6679">
        <w:rPr>
          <w:rFonts w:cstheme="minorHAnsi"/>
          <w:i/>
          <w:iCs/>
          <w:color w:val="4D4D4D"/>
          <w:sz w:val="16"/>
          <w:szCs w:val="16"/>
          <w:shd w:val="clear" w:color="auto" w:fill="FFFFFF"/>
        </w:rPr>
        <w:t>12 month</w:t>
      </w:r>
      <w:proofErr w:type="gramEnd"/>
      <w:r w:rsidRPr="00BB6679">
        <w:rPr>
          <w:rFonts w:cstheme="minorHAnsi"/>
          <w:i/>
          <w:iCs/>
          <w:color w:val="4D4D4D"/>
          <w:sz w:val="16"/>
          <w:szCs w:val="16"/>
          <w:shd w:val="clear" w:color="auto" w:fill="FFFFFF"/>
        </w:rPr>
        <w:t xml:space="preserve"> warranty provided by the manufacturer. Please note wear and tear is not covered by the </w:t>
      </w:r>
      <w:r w:rsidRPr="00BB6679">
        <w:rPr>
          <w:rFonts w:cstheme="minorHAnsi"/>
          <w:i/>
          <w:iCs/>
          <w:color w:val="4D4D4D"/>
          <w:sz w:val="16"/>
          <w:szCs w:val="16"/>
          <w:shd w:val="clear" w:color="auto" w:fill="FFFFFF"/>
        </w:rPr>
        <w:t>manufacturer’s</w:t>
      </w:r>
      <w:r w:rsidRPr="00BB6679">
        <w:rPr>
          <w:rFonts w:cstheme="minorHAnsi"/>
          <w:i/>
          <w:iCs/>
          <w:color w:val="4D4D4D"/>
          <w:sz w:val="16"/>
          <w:szCs w:val="16"/>
          <w:shd w:val="clear" w:color="auto" w:fill="FFFFFF"/>
        </w:rPr>
        <w:t xml:space="preserve"> warranty. Some products have longer or shorter warranties. These products will have the term stated in their description online.</w:t>
      </w:r>
      <w:r w:rsidRPr="00BB6679">
        <w:rPr>
          <w:rFonts w:cstheme="minorHAnsi"/>
          <w:i/>
          <w:iCs/>
          <w:color w:val="4D4D4D"/>
          <w:sz w:val="16"/>
          <w:szCs w:val="16"/>
          <w:shd w:val="clear" w:color="auto" w:fill="FFFFFF"/>
        </w:rPr>
        <w:br/>
      </w:r>
    </w:p>
    <w:p w14:paraId="74813CC0" w14:textId="77777777" w:rsidR="00BB6679" w:rsidRPr="00BB6679" w:rsidRDefault="00BB6679" w:rsidP="00BB6679">
      <w:pPr>
        <w:pStyle w:val="ListParagraph"/>
        <w:numPr>
          <w:ilvl w:val="0"/>
          <w:numId w:val="1"/>
        </w:numPr>
        <w:rPr>
          <w:rFonts w:cstheme="minorHAnsi"/>
          <w:i/>
          <w:iCs/>
          <w:sz w:val="16"/>
          <w:szCs w:val="16"/>
        </w:rPr>
      </w:pPr>
      <w:r w:rsidRPr="00BB6679">
        <w:rPr>
          <w:rFonts w:cstheme="minorHAnsi"/>
          <w:i/>
          <w:iCs/>
          <w:color w:val="4D4D4D"/>
          <w:sz w:val="16"/>
          <w:szCs w:val="16"/>
          <w:shd w:val="clear" w:color="auto" w:fill="FFFFFF"/>
        </w:rPr>
        <w:t>Generally, items must be inspected by a manufacturer's representative before any replacements can be issued. We will cover postal costs of damaged goods which are sent on standard services. Any returns sent on premium or next day services will not but covered by Gerrys and will be at your own cost.</w:t>
      </w:r>
      <w:r w:rsidRPr="00BB6679">
        <w:rPr>
          <w:rFonts w:cstheme="minorHAnsi"/>
          <w:i/>
          <w:iCs/>
          <w:color w:val="4D4D4D"/>
          <w:sz w:val="16"/>
          <w:szCs w:val="16"/>
          <w:shd w:val="clear" w:color="auto" w:fill="FFFFFF"/>
        </w:rPr>
        <w:br/>
      </w:r>
    </w:p>
    <w:p w14:paraId="1F09FA31" w14:textId="5DA92C4A" w:rsidR="00BB6679" w:rsidRPr="00BB6679" w:rsidRDefault="00BB6679" w:rsidP="00BB6679">
      <w:pPr>
        <w:pStyle w:val="ListParagraph"/>
        <w:numPr>
          <w:ilvl w:val="0"/>
          <w:numId w:val="1"/>
        </w:numPr>
        <w:rPr>
          <w:rFonts w:cstheme="minorHAnsi"/>
          <w:i/>
          <w:iCs/>
          <w:sz w:val="16"/>
          <w:szCs w:val="16"/>
        </w:rPr>
      </w:pPr>
      <w:r w:rsidRPr="00BB6679">
        <w:rPr>
          <w:rFonts w:cstheme="minorHAnsi"/>
          <w:i/>
          <w:iCs/>
          <w:color w:val="4D4D4D"/>
          <w:sz w:val="16"/>
          <w:szCs w:val="16"/>
          <w:shd w:val="clear" w:color="auto" w:fill="FFFFFF"/>
        </w:rPr>
        <w:t>We will cover the standard postage costs of items which are broke under warranty. Products outside warranty or sent back as exchanges are paid by the customer.</w:t>
      </w:r>
      <w:r w:rsidRPr="00BB6679">
        <w:rPr>
          <w:rFonts w:cstheme="minorHAnsi"/>
          <w:i/>
          <w:iCs/>
          <w:color w:val="4D4D4D"/>
          <w:sz w:val="16"/>
          <w:szCs w:val="16"/>
          <w:shd w:val="clear" w:color="auto" w:fill="FFFFFF"/>
        </w:rPr>
        <w:br/>
      </w:r>
    </w:p>
    <w:p w14:paraId="13DED586" w14:textId="06E17A21" w:rsidR="00BB6679" w:rsidRPr="00BB6679" w:rsidRDefault="00BB6679" w:rsidP="00BB6679">
      <w:pPr>
        <w:pStyle w:val="ListParagraph"/>
        <w:numPr>
          <w:ilvl w:val="0"/>
          <w:numId w:val="1"/>
        </w:numPr>
        <w:rPr>
          <w:rFonts w:cstheme="minorHAnsi"/>
          <w:i/>
          <w:iCs/>
          <w:sz w:val="16"/>
          <w:szCs w:val="16"/>
        </w:rPr>
      </w:pPr>
      <w:r w:rsidRPr="00BB6679">
        <w:rPr>
          <w:rFonts w:cstheme="minorHAnsi"/>
          <w:i/>
          <w:iCs/>
          <w:sz w:val="16"/>
          <w:szCs w:val="16"/>
        </w:rPr>
        <w:t>We will endeavour to process your return as quickly as possible but in busier periods this can take up at 14 days. There can also be delays from our suppliers over decisions and repairs.</w:t>
      </w:r>
    </w:p>
    <w:sectPr w:rsidR="00BB6679" w:rsidRPr="00BB66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E65541"/>
    <w:multiLevelType w:val="hybridMultilevel"/>
    <w:tmpl w:val="E2ECF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581"/>
    <w:rsid w:val="00157BAB"/>
    <w:rsid w:val="00255581"/>
    <w:rsid w:val="008A7C85"/>
    <w:rsid w:val="00BB66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A095E"/>
  <w15:chartTrackingRefBased/>
  <w15:docId w15:val="{278357DD-D5C0-41B3-8374-8BFCCB917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5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66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foote</dc:creator>
  <cp:keywords/>
  <dc:description/>
  <cp:lastModifiedBy>chris foote</cp:lastModifiedBy>
  <cp:revision>1</cp:revision>
  <dcterms:created xsi:type="dcterms:W3CDTF">2021-03-16T13:55:00Z</dcterms:created>
  <dcterms:modified xsi:type="dcterms:W3CDTF">2021-03-16T14:16:00Z</dcterms:modified>
</cp:coreProperties>
</file>